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color w:val="C62026"/>
          <w:sz w:val="21"/>
        </w:rPr>
        <w:t>JOB POSTING</w:t>
      </w:r>
    </w:p>
    <w:p>
      <w:pPr>
        <w:spacing w:after="0"/>
        <w:jc w:val="center"/>
      </w:pPr>
      <w:r>
        <w:rPr>
          <w:rFonts w:ascii="Arial" w:hAnsi="Arial"/>
          <w:b/>
          <w:sz w:val="30"/>
        </w:rPr>
        <w:t>Education Assistant</w:t>
      </w:r>
    </w:p>
    <w:p>
      <w:pPr>
        <w:spacing w:after="120"/>
        <w:jc w:val="center"/>
      </w:pPr>
      <w:r>
        <w:rPr>
          <w:rFonts w:ascii="Arial" w:hAnsi="Arial"/>
          <w:b/>
          <w:sz w:val="20"/>
        </w:rPr>
        <w:t>Ta Otha School</w:t>
      </w:r>
    </w:p>
    <w:tbl>
      <w:tblPr>
        <w:tblStyle w:val="TableGrid"/>
        <w:tblW w:type="auto" w:w="0"/>
        <w:jc w:val="center"/>
        <w:tblLook w:firstColumn="1" w:firstRow="1" w:lastColumn="0" w:lastRow="0" w:noHBand="0" w:noVBand="1" w:val="04A0"/>
      </w:tblPr>
      <w:tblGrid>
        <w:gridCol w:w="5083"/>
        <w:gridCol w:w="5083"/>
      </w:tblGrid>
      <w:tr>
        <w:tc>
          <w:tcPr>
            <w:tcW w:type="dxa" w:w="5083"/>
            <w:shd w:fill="EFEFEF"/>
            <w:tcMar>
              <w:top w:w="55" w:type="dxa"/>
              <w:start w:w="70" w:type="dxa"/>
              <w:bottom w:w="55" w:type="dxa"/>
              <w:end w:w="70" w:type="dxa"/>
            </w:tcMar>
            <w:vAlign w:val="center"/>
          </w:tcPr>
          <w:p>
            <w:r>
              <w:rPr>
                <w:rFonts w:ascii="Arial" w:hAnsi="Arial"/>
                <w:b/>
                <w:sz w:val="17"/>
              </w:rPr>
              <w:t>Employment Type</w:t>
            </w:r>
          </w:p>
        </w:tc>
        <w:tc>
          <w:tcPr>
            <w:tcW w:type="dxa" w:w="5083"/>
            <w:tcMar>
              <w:top w:w="55" w:type="dxa"/>
              <w:start w:w="70" w:type="dxa"/>
              <w:bottom w:w="55" w:type="dxa"/>
              <w:end w:w="70" w:type="dxa"/>
            </w:tcMar>
            <w:vAlign w:val="center"/>
          </w:tcPr>
          <w:p>
            <w:r>
              <w:rPr>
                <w:rFonts w:ascii="Arial" w:hAnsi="Arial"/>
                <w:b w:val="0"/>
                <w:sz w:val="17"/>
              </w:rPr>
              <w:t>Full-Time</w:t>
            </w:r>
          </w:p>
        </w:tc>
      </w:tr>
      <w:tr>
        <w:tc>
          <w:tcPr>
            <w:tcW w:type="dxa" w:w="5083"/>
            <w:shd w:fill="EFEFEF"/>
            <w:tcMar>
              <w:top w:w="55" w:type="dxa"/>
              <w:start w:w="70" w:type="dxa"/>
              <w:bottom w:w="55" w:type="dxa"/>
              <w:end w:w="70" w:type="dxa"/>
            </w:tcMar>
            <w:vAlign w:val="center"/>
          </w:tcPr>
          <w:p>
            <w:r>
              <w:rPr>
                <w:rFonts w:ascii="Arial" w:hAnsi="Arial"/>
                <w:b/>
                <w:sz w:val="17"/>
              </w:rPr>
              <w:t>Reports To</w:t>
            </w:r>
          </w:p>
        </w:tc>
        <w:tc>
          <w:tcPr>
            <w:tcW w:type="dxa" w:w="5083"/>
            <w:tcMar>
              <w:top w:w="55" w:type="dxa"/>
              <w:start w:w="70" w:type="dxa"/>
              <w:bottom w:w="55" w:type="dxa"/>
              <w:end w:w="70" w:type="dxa"/>
            </w:tcMar>
            <w:vAlign w:val="center"/>
          </w:tcPr>
          <w:p>
            <w:r>
              <w:rPr>
                <w:rFonts w:ascii="Arial" w:hAnsi="Arial"/>
                <w:b w:val="0"/>
                <w:sz w:val="17"/>
              </w:rPr>
              <w:t>Principal</w:t>
            </w:r>
          </w:p>
        </w:tc>
      </w:tr>
      <w:tr>
        <w:tc>
          <w:tcPr>
            <w:tcW w:type="dxa" w:w="5083"/>
            <w:shd w:fill="EFEFEF"/>
            <w:tcMar>
              <w:top w:w="55" w:type="dxa"/>
              <w:start w:w="70" w:type="dxa"/>
              <w:bottom w:w="55" w:type="dxa"/>
              <w:end w:w="70" w:type="dxa"/>
            </w:tcMar>
            <w:vAlign w:val="center"/>
          </w:tcPr>
          <w:p>
            <w:r>
              <w:rPr>
                <w:rFonts w:ascii="Arial" w:hAnsi="Arial"/>
                <w:b/>
                <w:sz w:val="17"/>
              </w:rPr>
              <w:t>Work Location</w:t>
            </w:r>
          </w:p>
        </w:tc>
        <w:tc>
          <w:tcPr>
            <w:tcW w:type="dxa" w:w="5083"/>
            <w:tcMar>
              <w:top w:w="55" w:type="dxa"/>
              <w:start w:w="70" w:type="dxa"/>
              <w:bottom w:w="55" w:type="dxa"/>
              <w:end w:w="70" w:type="dxa"/>
            </w:tcMar>
            <w:vAlign w:val="center"/>
          </w:tcPr>
          <w:p>
            <w:r>
              <w:rPr>
                <w:rFonts w:ascii="Arial" w:hAnsi="Arial"/>
                <w:b w:val="0"/>
                <w:sz w:val="17"/>
              </w:rPr>
              <w:t>Ta Otha School</w:t>
            </w:r>
          </w:p>
        </w:tc>
      </w:tr>
      <w:tr>
        <w:tc>
          <w:tcPr>
            <w:tcW w:type="dxa" w:w="5083"/>
            <w:shd w:fill="EFEFEF"/>
            <w:tcMar>
              <w:top w:w="55" w:type="dxa"/>
              <w:start w:w="70" w:type="dxa"/>
              <w:bottom w:w="55" w:type="dxa"/>
              <w:end w:w="70" w:type="dxa"/>
            </w:tcMar>
            <w:vAlign w:val="center"/>
          </w:tcPr>
          <w:p>
            <w:r>
              <w:rPr>
                <w:rFonts w:ascii="Arial" w:hAnsi="Arial"/>
                <w:b/>
                <w:sz w:val="17"/>
              </w:rPr>
              <w:t>Closing Date</w:t>
            </w:r>
          </w:p>
        </w:tc>
        <w:tc>
          <w:tcPr>
            <w:tcW w:type="dxa" w:w="5083"/>
            <w:tcMar>
              <w:top w:w="55" w:type="dxa"/>
              <w:start w:w="70" w:type="dxa"/>
              <w:bottom w:w="55" w:type="dxa"/>
              <w:end w:w="70" w:type="dxa"/>
            </w:tcMar>
            <w:vAlign w:val="center"/>
          </w:tcPr>
          <w:p>
            <w:r>
              <w:rPr>
                <w:rFonts w:ascii="Arial" w:hAnsi="Arial"/>
                <w:b w:val="0"/>
                <w:sz w:val="17"/>
              </w:rPr>
              <w:t>October 16, 2026</w:t>
            </w:r>
          </w:p>
        </w:tc>
      </w:tr>
    </w:tbl>
    <w:p>
      <w:pPr>
        <w:spacing w:before="100" w:after="40"/>
      </w:pPr>
      <w:r>
        <w:rPr>
          <w:rFonts w:ascii="Arial" w:hAnsi="Arial"/>
          <w:b/>
          <w:color w:val="C62026"/>
          <w:sz w:val="20"/>
        </w:rPr>
        <w:t>THE OPPORTUNITY</w:t>
      </w:r>
    </w:p>
    <w:p>
      <w:pPr>
        <w:spacing w:after="60" w:line="240" w:lineRule="auto"/>
      </w:pPr>
      <w:r>
        <w:rPr>
          <w:rFonts w:ascii="Arial" w:hAnsi="Arial"/>
          <w:sz w:val="18"/>
        </w:rPr>
        <w:t>Stoney Education Authority is seeking a caring, dependable, and student-centred Education Assistant to join the team at Ta Otha School. The Education Assistant works alongside teachers and school staff to support student learning, participation, safety, and well-being in the classroom and throughout the school day.</w:t>
      </w:r>
    </w:p>
    <w:p>
      <w:pPr>
        <w:spacing w:after="60" w:line="240" w:lineRule="auto"/>
      </w:pPr>
      <w:r>
        <w:rPr>
          <w:rFonts w:ascii="Arial" w:hAnsi="Arial"/>
          <w:sz w:val="18"/>
        </w:rPr>
        <w:t>This is a great opportunity for someone who enjoys working with children and youth, is willing to learn, and wants to contribute to a school environment grounded in Stoney Nakoda culture, relationships, community, and land-based learning.</w:t>
      </w:r>
    </w:p>
    <w:p>
      <w:pPr>
        <w:spacing w:before="100" w:after="40"/>
      </w:pPr>
      <w:r>
        <w:rPr>
          <w:rFonts w:ascii="Arial" w:hAnsi="Arial"/>
          <w:b/>
          <w:color w:val="C62026"/>
          <w:sz w:val="20"/>
        </w:rPr>
        <w:t>KEY RESPONSIBILITIES</w:t>
      </w:r>
    </w:p>
    <w:p>
      <w:pPr>
        <w:pStyle w:val="ListBullet"/>
        <w:spacing w:after="24" w:line="240" w:lineRule="auto"/>
        <w:ind w:left="317" w:hanging="173"/>
      </w:pPr>
      <w:r>
        <w:rPr>
          <w:rFonts w:ascii="Arial" w:hAnsi="Arial"/>
          <w:sz w:val="18"/>
        </w:rPr>
        <w:t>Support students individually and in small groups with classroom learning, routines, activities, and transitions.</w:t>
      </w:r>
    </w:p>
    <w:p>
      <w:pPr>
        <w:pStyle w:val="ListBullet"/>
        <w:spacing w:after="24" w:line="240" w:lineRule="auto"/>
        <w:ind w:left="317" w:hanging="173"/>
      </w:pPr>
      <w:r>
        <w:rPr>
          <w:rFonts w:ascii="Arial" w:hAnsi="Arial"/>
          <w:sz w:val="18"/>
        </w:rPr>
        <w:t>Work under the direction of the classroom teacher and Principal to support student learning plans and classroom expectations.</w:t>
      </w:r>
    </w:p>
    <w:p>
      <w:pPr>
        <w:pStyle w:val="ListBullet"/>
        <w:spacing w:after="24" w:line="240" w:lineRule="auto"/>
        <w:ind w:left="317" w:hanging="173"/>
      </w:pPr>
      <w:r>
        <w:rPr>
          <w:rFonts w:ascii="Arial" w:hAnsi="Arial"/>
          <w:sz w:val="18"/>
        </w:rPr>
        <w:t>Provide encouragement, supervision, and practical support that helps students participate successfully in school.</w:t>
      </w:r>
    </w:p>
    <w:p>
      <w:pPr>
        <w:pStyle w:val="ListBullet"/>
        <w:spacing w:after="24" w:line="240" w:lineRule="auto"/>
        <w:ind w:left="317" w:hanging="173"/>
      </w:pPr>
      <w:r>
        <w:rPr>
          <w:rFonts w:ascii="Arial" w:hAnsi="Arial"/>
          <w:sz w:val="18"/>
        </w:rPr>
        <w:t>Support positive behaviour using calm, respectful, relationship-based approaches and seek assistance when additional support is needed.</w:t>
      </w:r>
    </w:p>
    <w:p>
      <w:pPr>
        <w:pStyle w:val="ListBullet"/>
        <w:spacing w:after="24" w:line="240" w:lineRule="auto"/>
        <w:ind w:left="317" w:hanging="173"/>
      </w:pPr>
      <w:r>
        <w:rPr>
          <w:rFonts w:ascii="Arial" w:hAnsi="Arial"/>
          <w:sz w:val="18"/>
        </w:rPr>
        <w:t>Assist with classroom preparation, learning materials, organization, and day-to-day activities.</w:t>
      </w:r>
    </w:p>
    <w:p>
      <w:pPr>
        <w:pStyle w:val="ListBullet"/>
        <w:spacing w:after="24" w:line="240" w:lineRule="auto"/>
        <w:ind w:left="317" w:hanging="173"/>
      </w:pPr>
      <w:r>
        <w:rPr>
          <w:rFonts w:ascii="Arial" w:hAnsi="Arial"/>
          <w:sz w:val="18"/>
        </w:rPr>
        <w:t>Work collaboratively with teachers, other Education Assistants, Specialized Education Assistants, and student-support professionals.</w:t>
      </w:r>
    </w:p>
    <w:p>
      <w:pPr>
        <w:pStyle w:val="ListBullet"/>
        <w:spacing w:after="24" w:line="240" w:lineRule="auto"/>
        <w:ind w:left="317" w:hanging="173"/>
      </w:pPr>
      <w:r>
        <w:rPr>
          <w:rFonts w:ascii="Arial" w:hAnsi="Arial"/>
          <w:sz w:val="18"/>
        </w:rPr>
        <w:t>Participate in outdoor, cultural, community, and land-based learning activities as part of the school program.</w:t>
      </w:r>
    </w:p>
    <w:p>
      <w:pPr>
        <w:pStyle w:val="ListBullet"/>
        <w:spacing w:after="24" w:line="240" w:lineRule="auto"/>
        <w:ind w:left="317" w:hanging="173"/>
      </w:pPr>
      <w:r>
        <w:rPr>
          <w:rFonts w:ascii="Arial" w:hAnsi="Arial"/>
          <w:sz w:val="18"/>
        </w:rPr>
        <w:t>Maintain student confidentiality, professional boundaries, and a safe and respectful learning environment.</w:t>
      </w:r>
    </w:p>
    <w:p>
      <w:pPr>
        <w:pStyle w:val="ListBullet"/>
        <w:spacing w:after="24" w:line="240" w:lineRule="auto"/>
        <w:ind w:left="317" w:hanging="173"/>
      </w:pPr>
      <w:r>
        <w:rPr>
          <w:rFonts w:ascii="Arial" w:hAnsi="Arial"/>
          <w:sz w:val="18"/>
        </w:rPr>
        <w:t>Follow SEA policies, school procedures, student plans, and direction from school administration.</w:t>
      </w:r>
    </w:p>
    <w:p>
      <w:pPr>
        <w:spacing w:before="100" w:after="40"/>
      </w:pPr>
      <w:r>
        <w:rPr>
          <w:rFonts w:ascii="Arial" w:hAnsi="Arial"/>
          <w:b/>
          <w:color w:val="C62026"/>
          <w:sz w:val="20"/>
        </w:rPr>
        <w:t>WHAT WE ARE LOOKING FOR</w:t>
      </w:r>
    </w:p>
    <w:p>
      <w:pPr>
        <w:pStyle w:val="ListBullet"/>
        <w:spacing w:after="24" w:line="240" w:lineRule="auto"/>
        <w:ind w:left="317" w:hanging="173"/>
      </w:pPr>
      <w:r>
        <w:rPr>
          <w:rFonts w:ascii="Arial" w:hAnsi="Arial"/>
          <w:sz w:val="18"/>
        </w:rPr>
        <w:t>Patience, reliability, professionalism, and a genuine interest in supporting students.</w:t>
      </w:r>
    </w:p>
    <w:p>
      <w:pPr>
        <w:pStyle w:val="ListBullet"/>
        <w:spacing w:after="24" w:line="240" w:lineRule="auto"/>
        <w:ind w:left="317" w:hanging="173"/>
      </w:pPr>
      <w:r>
        <w:rPr>
          <w:rFonts w:ascii="Arial" w:hAnsi="Arial"/>
          <w:sz w:val="18"/>
        </w:rPr>
        <w:t>Strong communication and relationship-building skills.</w:t>
      </w:r>
    </w:p>
    <w:p>
      <w:pPr>
        <w:pStyle w:val="ListBullet"/>
        <w:spacing w:after="24" w:line="240" w:lineRule="auto"/>
        <w:ind w:left="317" w:hanging="173"/>
      </w:pPr>
      <w:r>
        <w:rPr>
          <w:rFonts w:ascii="Arial" w:hAnsi="Arial"/>
          <w:sz w:val="18"/>
        </w:rPr>
        <w:t>Ability to follow direction, work as part of a team, and respond calmly when students need support.</w:t>
      </w:r>
    </w:p>
    <w:p>
      <w:pPr>
        <w:pStyle w:val="ListBullet"/>
        <w:spacing w:after="24" w:line="240" w:lineRule="auto"/>
        <w:ind w:left="317" w:hanging="173"/>
      </w:pPr>
      <w:r>
        <w:rPr>
          <w:rFonts w:ascii="Arial" w:hAnsi="Arial"/>
          <w:sz w:val="18"/>
        </w:rPr>
        <w:t>Willingness to work both indoors and outdoors and participate in land-based learning.</w:t>
      </w:r>
    </w:p>
    <w:p>
      <w:pPr>
        <w:pStyle w:val="ListBullet"/>
        <w:spacing w:after="24" w:line="240" w:lineRule="auto"/>
        <w:ind w:left="317" w:hanging="173"/>
      </w:pPr>
      <w:r>
        <w:rPr>
          <w:rFonts w:ascii="Arial" w:hAnsi="Arial"/>
          <w:sz w:val="18"/>
        </w:rPr>
        <w:t>Knowledge of Stoney Nakoda language, culture, community, and traditions is a strong asset.</w:t>
      </w:r>
    </w:p>
    <w:p>
      <w:pPr>
        <w:pStyle w:val="ListBullet"/>
        <w:spacing w:after="24" w:line="240" w:lineRule="auto"/>
        <w:ind w:left="317" w:hanging="173"/>
      </w:pPr>
      <w:r>
        <w:rPr>
          <w:rFonts w:ascii="Arial" w:hAnsi="Arial"/>
          <w:sz w:val="18"/>
        </w:rPr>
        <w:t>Previous experience working with children or youth is an asset, but applicants with transferable skills and a willingness to learn are encouraged to apply.</w:t>
      </w:r>
    </w:p>
    <w:p>
      <w:pPr>
        <w:pStyle w:val="ListBullet"/>
        <w:spacing w:after="24" w:line="240" w:lineRule="auto"/>
        <w:ind w:left="317" w:hanging="173"/>
      </w:pPr>
      <w:r>
        <w:rPr>
          <w:rFonts w:ascii="Arial" w:hAnsi="Arial"/>
          <w:sz w:val="18"/>
        </w:rPr>
        <w:t>Education or training related to Education Assistance, child and youth care, early learning, community support, or a related field is considered an asset.</w:t>
      </w:r>
    </w:p>
    <w:p>
      <w:pPr>
        <w:spacing w:before="100" w:after="40"/>
      </w:pPr>
      <w:r>
        <w:rPr>
          <w:rFonts w:ascii="Arial" w:hAnsi="Arial"/>
          <w:b/>
          <w:color w:val="C62026"/>
          <w:sz w:val="20"/>
        </w:rPr>
        <w:t>CONDITIONS OF EMPLOYMENT</w:t>
      </w:r>
    </w:p>
    <w:p>
      <w:pPr>
        <w:pStyle w:val="ListBullet"/>
        <w:spacing w:after="24" w:line="240" w:lineRule="auto"/>
        <w:ind w:left="317" w:hanging="173"/>
      </w:pPr>
      <w:r>
        <w:rPr>
          <w:rFonts w:ascii="Arial" w:hAnsi="Arial"/>
          <w:sz w:val="18"/>
        </w:rPr>
        <w:t>Satisfactory Criminal Record Check with Vulnerable Sector Check.</w:t>
      </w:r>
    </w:p>
    <w:p>
      <w:pPr>
        <w:pStyle w:val="ListBullet"/>
        <w:spacing w:after="24" w:line="240" w:lineRule="auto"/>
        <w:ind w:left="317" w:hanging="173"/>
      </w:pPr>
      <w:r>
        <w:rPr>
          <w:rFonts w:ascii="Arial" w:hAnsi="Arial"/>
          <w:sz w:val="18"/>
        </w:rPr>
        <w:t>Reliable transportation to and from Ta Otha School.</w:t>
      </w:r>
    </w:p>
    <w:p>
      <w:pPr>
        <w:pStyle w:val="ListBullet"/>
        <w:spacing w:after="24" w:line="240" w:lineRule="auto"/>
        <w:ind w:left="317" w:hanging="173"/>
      </w:pPr>
      <w:r>
        <w:rPr>
          <w:rFonts w:ascii="Arial" w:hAnsi="Arial"/>
          <w:sz w:val="18"/>
        </w:rPr>
        <w:t>Regular and reliable attendance and punctuality.</w:t>
      </w:r>
    </w:p>
    <w:p>
      <w:pPr>
        <w:pStyle w:val="ListBullet"/>
        <w:spacing w:after="24" w:line="240" w:lineRule="auto"/>
        <w:ind w:left="317" w:hanging="173"/>
      </w:pPr>
      <w:r>
        <w:rPr>
          <w:rFonts w:ascii="Arial" w:hAnsi="Arial"/>
          <w:sz w:val="18"/>
        </w:rPr>
        <w:t>Ability to participate in school, outdoor, cultural, and land-based activities as required.</w:t>
      </w:r>
    </w:p>
    <w:p>
      <w:pPr>
        <w:pStyle w:val="ListBullet"/>
        <w:spacing w:after="24" w:line="240" w:lineRule="auto"/>
        <w:ind w:left="317" w:hanging="173"/>
      </w:pPr>
      <w:r>
        <w:rPr>
          <w:rFonts w:ascii="Arial" w:hAnsi="Arial"/>
          <w:sz w:val="18"/>
        </w:rPr>
        <w:t>Completion of required SEA onboarding and school-site orientation.</w:t>
      </w:r>
    </w:p>
    <w:p>
      <w:pPr>
        <w:spacing w:before="100" w:after="40"/>
      </w:pPr>
      <w:r>
        <w:rPr>
          <w:rFonts w:ascii="Arial" w:hAnsi="Arial"/>
          <w:b/>
          <w:color w:val="C62026"/>
          <w:sz w:val="20"/>
        </w:rPr>
        <w:t>WHY JOIN STONEY EDUCATION AUTHORITY?</w:t>
      </w:r>
    </w:p>
    <w:p>
      <w:pPr>
        <w:spacing w:after="60" w:line="240" w:lineRule="auto"/>
      </w:pPr>
      <w:r>
        <w:rPr>
          <w:rFonts w:ascii="Arial" w:hAnsi="Arial"/>
          <w:sz w:val="18"/>
        </w:rPr>
        <w:t>SEA schools provide a collaborative environment where Education Assistants work alongside teachers, specialized supports, Elders, Knowledge Keepers, families, and community members. The role offers an opportunity to support student success while contributing to education that strengthens Stoney Nakoda language, culture, identity, and connection to the land.</w:t>
      </w:r>
    </w:p>
    <w:p>
      <w:pPr>
        <w:spacing w:before="100" w:after="40"/>
      </w:pPr>
      <w:r>
        <w:rPr>
          <w:rFonts w:ascii="Arial" w:hAnsi="Arial"/>
          <w:b/>
          <w:color w:val="C62026"/>
          <w:sz w:val="20"/>
        </w:rPr>
        <w:t>HOW TO APPLY</w:t>
      </w:r>
    </w:p>
    <w:p>
      <w:pPr>
        <w:spacing w:after="40" w:line="240" w:lineRule="auto"/>
      </w:pPr>
      <w:r>
        <w:rPr>
          <w:rFonts w:ascii="Arial" w:hAnsi="Arial"/>
          <w:sz w:val="18"/>
        </w:rPr>
        <w:t>Please submit your resume to HR@stoneyeducation.ca by October 16, 2026. Shortlisted candidates will be contacted for an interview.</w:t>
      </w:r>
    </w:p>
    <w:p>
      <w:pPr>
        <w:spacing w:after="0"/>
        <w:jc w:val="center"/>
      </w:pPr>
      <w:r>
        <w:rPr>
          <w:rFonts w:ascii="Arial" w:hAnsi="Arial"/>
          <w:b/>
          <w:color w:val="C62026"/>
          <w:sz w:val="18"/>
        </w:rPr>
        <w:t>Strengthen Your Spirit Through Learning</w:t>
      </w:r>
    </w:p>
    <w:sectPr w:rsidR="00FC693F" w:rsidRPr="0006063C" w:rsidSect="00034616">
      <w:headerReference w:type="default" r:id="rId9"/>
      <w:footerReference w:type="default" r:id="rId10"/>
      <w:pgSz w:w="12240" w:h="15840"/>
      <w:pgMar w:top="1512" w:right="1037" w:bottom="1037" w:left="1037"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888"/>
      <w:gridCol w:w="6480"/>
    </w:tblGrid>
    <w:tr>
      <w:tc>
        <w:tcPr>
          <w:tcW w:type="dxa" w:w="3888"/>
          <w:tcMar>
            <w:top w:w="0" w:type="dxa"/>
            <w:start w:w="0" w:type="dxa"/>
            <w:bottom w:w="0" w:type="dxa"/>
            <w:end w:w="0" w:type="dxa"/>
          </w:tcMar>
        </w:tcPr>
        <w:p>
          <w:pPr>
            <w:spacing w:after="0"/>
            <w:jc w:val="left"/>
          </w:pPr>
          <w:r>
            <w:drawing>
              <wp:inline xmlns:a="http://schemas.openxmlformats.org/drawingml/2006/main" xmlns:pic="http://schemas.openxmlformats.org/drawingml/2006/picture">
                <wp:extent cx="310896" cy="324869"/>
                <wp:docPr id="1" name="Picture 1"/>
                <wp:cNvGraphicFramePr>
                  <a:graphicFrameLocks noChangeAspect="1"/>
                </wp:cNvGraphicFramePr>
                <a:graphic>
                  <a:graphicData uri="http://schemas.openxmlformats.org/drawingml/2006/picture">
                    <pic:pic>
                      <pic:nvPicPr>
                        <pic:cNvPr id="0" name="image2.png"/>
                        <pic:cNvPicPr/>
                      </pic:nvPicPr>
                      <pic:blipFill>
                        <a:blip r:embed="rId1"/>
                        <a:stretch>
                          <a:fillRect/>
                        </a:stretch>
                      </pic:blipFill>
                      <pic:spPr>
                        <a:xfrm>
                          <a:off x="0" y="0"/>
                          <a:ext cx="310896" cy="324869"/>
                        </a:xfrm>
                        <a:prstGeom prst="rect"/>
                      </pic:spPr>
                    </pic:pic>
                  </a:graphicData>
                </a:graphic>
              </wp:inline>
            </w:drawing>
          </w:r>
          <w:r>
            <w:t xml:space="preserve"> </w:t>
          </w:r>
          <w:r>
            <w:drawing>
              <wp:inline xmlns:a="http://schemas.openxmlformats.org/drawingml/2006/main" xmlns:pic="http://schemas.openxmlformats.org/drawingml/2006/picture">
                <wp:extent cx="310896" cy="359172"/>
                <wp:docPr id="2" name="Picture 2"/>
                <wp:cNvGraphicFramePr>
                  <a:graphicFrameLocks noChangeAspect="1"/>
                </wp:cNvGraphicFramePr>
                <a:graphic>
                  <a:graphicData uri="http://schemas.openxmlformats.org/drawingml/2006/picture">
                    <pic:pic>
                      <pic:nvPicPr>
                        <pic:cNvPr id="0" name="image3.png"/>
                        <pic:cNvPicPr/>
                      </pic:nvPicPr>
                      <pic:blipFill>
                        <a:blip r:embed="rId2"/>
                        <a:stretch>
                          <a:fillRect/>
                        </a:stretch>
                      </pic:blipFill>
                      <pic:spPr>
                        <a:xfrm>
                          <a:off x="0" y="0"/>
                          <a:ext cx="310896" cy="359172"/>
                        </a:xfrm>
                        <a:prstGeom prst="rect"/>
                      </pic:spPr>
                    </pic:pic>
                  </a:graphicData>
                </a:graphic>
              </wp:inline>
            </w:drawing>
          </w:r>
          <w:r>
            <w:t xml:space="preserve"> </w:t>
          </w:r>
          <w:r>
            <w:drawing>
              <wp:inline xmlns:a="http://schemas.openxmlformats.org/drawingml/2006/main" xmlns:pic="http://schemas.openxmlformats.org/drawingml/2006/picture">
                <wp:extent cx="310896" cy="325136"/>
                <wp:docPr id="3" name="Picture 3"/>
                <wp:cNvGraphicFramePr>
                  <a:graphicFrameLocks noChangeAspect="1"/>
                </wp:cNvGraphicFramePr>
                <a:graphic>
                  <a:graphicData uri="http://schemas.openxmlformats.org/drawingml/2006/picture">
                    <pic:pic>
                      <pic:nvPicPr>
                        <pic:cNvPr id="0" name="image4.png"/>
                        <pic:cNvPicPr/>
                      </pic:nvPicPr>
                      <pic:blipFill>
                        <a:blip r:embed="rId3"/>
                        <a:stretch>
                          <a:fillRect/>
                        </a:stretch>
                      </pic:blipFill>
                      <pic:spPr>
                        <a:xfrm>
                          <a:off x="0" y="0"/>
                          <a:ext cx="310896" cy="325136"/>
                        </a:xfrm>
                        <a:prstGeom prst="rect"/>
                      </pic:spPr>
                    </pic:pic>
                  </a:graphicData>
                </a:graphic>
              </wp:inline>
            </w:drawing>
          </w:r>
          <w:r>
            <w:t xml:space="preserve"> </w:t>
          </w:r>
          <w:r>
            <w:drawing>
              <wp:inline xmlns:a="http://schemas.openxmlformats.org/drawingml/2006/main" xmlns:pic="http://schemas.openxmlformats.org/drawingml/2006/picture">
                <wp:extent cx="310896" cy="324869"/>
                <wp:docPr id="4" name="Picture 4"/>
                <wp:cNvGraphicFramePr>
                  <a:graphicFrameLocks noChangeAspect="1"/>
                </wp:cNvGraphicFramePr>
                <a:graphic>
                  <a:graphicData uri="http://schemas.openxmlformats.org/drawingml/2006/picture">
                    <pic:pic>
                      <pic:nvPicPr>
                        <pic:cNvPr id="0" name="image5.png"/>
                        <pic:cNvPicPr/>
                      </pic:nvPicPr>
                      <pic:blipFill>
                        <a:blip r:embed="rId4"/>
                        <a:stretch>
                          <a:fillRect/>
                        </a:stretch>
                      </pic:blipFill>
                      <pic:spPr>
                        <a:xfrm>
                          <a:off x="0" y="0"/>
                          <a:ext cx="310896" cy="324869"/>
                        </a:xfrm>
                        <a:prstGeom prst="rect"/>
                      </pic:spPr>
                    </pic:pic>
                  </a:graphicData>
                </a:graphic>
              </wp:inline>
            </w:drawing>
          </w:r>
        </w:p>
      </w:tc>
      <w:tc>
        <w:tcPr>
          <w:tcW w:type="dxa" w:w="6480"/>
          <w:tcMar>
            <w:top w:w="0" w:type="dxa"/>
            <w:start w:w="0" w:type="dxa"/>
            <w:bottom w:w="0" w:type="dxa"/>
            <w:end w:w="0" w:type="dxa"/>
          </w:tcMar>
        </w:tcPr>
        <w:p>
          <w:pPr>
            <w:spacing w:after="0"/>
            <w:jc w:val="right"/>
          </w:pPr>
          <w:r>
            <w:rPr>
              <w:rFonts w:ascii="Calibri" w:hAnsi="Calibri"/>
              <w:b w:val="0"/>
              <w:i/>
              <w:color w:val="666666"/>
              <w:sz w:val="17"/>
            </w:rPr>
            <w:t>Strengthen Your Spirit Through Learning</w:t>
          </w:r>
        </w:p>
        <w:p>
          <w:pPr>
            <w:spacing w:after="0"/>
            <w:jc w:val="right"/>
          </w:pPr>
          <w:r>
            <w:rPr>
              <w:rFonts w:ascii="Calibri" w:hAnsi="Calibri"/>
              <w:b w:val="0"/>
              <w:i w:val="0"/>
              <w:color w:val="0070C0"/>
              <w:sz w:val="16"/>
            </w:rPr>
            <w:t xml:space="preserve">www.stoneyeducation.ca   |   Page </w:t>
          </w:r>
          <w:r>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1512"/>
      <w:gridCol w:w="8856"/>
    </w:tblGrid>
    <w:tr>
      <w:tc>
        <w:tcPr>
          <w:tcW w:type="dxa" w:w="1512"/>
          <w:vAlign w:val="center"/>
          <w:tcMar>
            <w:top w:w="0" w:type="dxa"/>
            <w:start w:w="0" w:type="dxa"/>
            <w:bottom w:w="0" w:type="dxa"/>
            <w:end w:w="0" w:type="dxa"/>
          </w:tcMar>
        </w:tcPr>
        <w:p>
          <w:pPr>
            <w:spacing w:after="0"/>
            <w:jc w:val="left"/>
          </w:pPr>
          <w:r>
            <w:drawing>
              <wp:inline xmlns:a="http://schemas.openxmlformats.org/drawingml/2006/main" xmlns:pic="http://schemas.openxmlformats.org/drawingml/2006/picture">
                <wp:extent cx="749808" cy="913559"/>
                <wp:docPr id="1" name="Picture 1"/>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749808" cy="913559"/>
                        </a:xfrm>
                        <a:prstGeom prst="rect"/>
                      </pic:spPr>
                    </pic:pic>
                  </a:graphicData>
                </a:graphic>
              </wp:inline>
            </w:drawing>
          </w:r>
        </w:p>
      </w:tc>
      <w:tc>
        <w:tcPr>
          <w:tcW w:type="dxa" w:w="8856"/>
          <w:vAlign w:val="center"/>
          <w:tcMar>
            <w:top w:w="0" w:type="dxa"/>
            <w:start w:w="40" w:type="dxa"/>
            <w:bottom w:w="0" w:type="dxa"/>
            <w:end w:w="0" w:type="dxa"/>
          </w:tcMar>
          <w:tcBorders>
            <w:bottom w:val="single" w:sz="18" w:color="D71920"/>
          </w:tcBorders>
        </w:tcPr>
        <w:p>
          <w:pPr>
            <w:spacing w:after="40"/>
            <w:jc w:val="right"/>
          </w:pPr>
          <w:r>
            <w:rPr>
              <w:rFonts w:ascii="Calibri" w:hAnsi="Calibri"/>
              <w:b/>
              <w:i w:val="0"/>
              <w:color w:val="111111"/>
              <w:sz w:val="36"/>
            </w:rPr>
            <w:t>STONEY EDUCATION AUTHORITY</w:t>
          </w:r>
        </w:p>
        <w:p>
          <w:pPr>
            <w:spacing w:after="20"/>
            <w:jc w:val="right"/>
          </w:pPr>
          <w:r>
            <w:rPr>
              <w:rFonts w:ascii="Calibri" w:hAnsi="Calibri"/>
              <w:b w:val="0"/>
              <w:i w:val="0"/>
              <w:color w:val="6B6B6B"/>
              <w:sz w:val="16"/>
            </w:rPr>
            <w:t>P.O. BOX 238, MORLEY, AB  T0L 1N0</w:t>
          </w:r>
        </w:p>
        <w:p>
          <w:pPr>
            <w:spacing w:after="40"/>
            <w:jc w:val="right"/>
          </w:pPr>
          <w:r>
            <w:rPr>
              <w:rFonts w:ascii="Calibri" w:hAnsi="Calibri"/>
              <w:b w:val="0"/>
              <w:i w:val="0"/>
              <w:color w:val="6B6B6B"/>
              <w:sz w:val="16"/>
            </w:rPr>
            <w:t>TEL # (403) 881-2743    FAX # (403) 881-4252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